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87" w:rsidRPr="00E12B89" w:rsidRDefault="00841487" w:rsidP="00841487">
      <w:pPr>
        <w:pStyle w:val="1"/>
        <w:numPr>
          <w:ilvl w:val="0"/>
          <w:numId w:val="0"/>
        </w:numPr>
        <w:tabs>
          <w:tab w:val="left" w:pos="6236"/>
        </w:tabs>
        <w:ind w:left="567" w:hanging="567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sz w:val="24"/>
          <w:rtl/>
        </w:rPr>
        <w:t xml:space="preserve">    </w:t>
      </w:r>
      <w:r w:rsidRPr="00E12B89">
        <w:rPr>
          <w:rFonts w:hint="eastAsia"/>
          <w:b/>
          <w:bCs/>
          <w:u w:val="single"/>
          <w:rtl/>
        </w:rPr>
        <w:t>נוסח</w:t>
      </w:r>
      <w:r w:rsidRPr="00E12B89">
        <w:rPr>
          <w:b/>
          <w:bCs/>
          <w:u w:val="single"/>
          <w:rtl/>
        </w:rPr>
        <w:t xml:space="preserve"> </w:t>
      </w:r>
      <w:r w:rsidRPr="00E12B89">
        <w:rPr>
          <w:rFonts w:hint="eastAsia"/>
          <w:b/>
          <w:bCs/>
          <w:u w:val="single"/>
          <w:rtl/>
        </w:rPr>
        <w:t>מודעה</w:t>
      </w:r>
      <w:r w:rsidRPr="00E12B89">
        <w:rPr>
          <w:b/>
          <w:bCs/>
          <w:u w:val="single"/>
          <w:rtl/>
        </w:rPr>
        <w:t xml:space="preserve"> </w:t>
      </w:r>
      <w:r w:rsidRPr="00E12B89">
        <w:rPr>
          <w:rFonts w:hint="eastAsia"/>
          <w:b/>
          <w:bCs/>
          <w:u w:val="single"/>
          <w:rtl/>
        </w:rPr>
        <w:t>לעיתונות</w:t>
      </w:r>
      <w:r>
        <w:rPr>
          <w:rFonts w:hint="cs"/>
          <w:b/>
          <w:bCs/>
          <w:u w:val="single"/>
          <w:rtl/>
        </w:rPr>
        <w:t xml:space="preserve"> </w:t>
      </w:r>
    </w:p>
    <w:p w:rsidR="00841487" w:rsidRPr="00A22468" w:rsidRDefault="00841487" w:rsidP="00841487">
      <w:pPr>
        <w:pStyle w:val="1"/>
        <w:numPr>
          <w:ilvl w:val="0"/>
          <w:numId w:val="0"/>
        </w:numPr>
        <w:tabs>
          <w:tab w:val="left" w:pos="6236"/>
          <w:tab w:val="left" w:pos="9072"/>
        </w:tabs>
        <w:ind w:left="567" w:right="0" w:hanging="425"/>
        <w:jc w:val="center"/>
        <w:rPr>
          <w:b/>
          <w:bCs/>
          <w:sz w:val="24"/>
          <w:u w:val="single"/>
          <w:rtl/>
        </w:rPr>
      </w:pPr>
      <w:r w:rsidRPr="00CC6A00">
        <w:rPr>
          <w:rFonts w:hint="cs"/>
          <w:b/>
          <w:bCs/>
          <w:u w:val="single"/>
          <w:rtl/>
        </w:rPr>
        <w:t xml:space="preserve">מכרז </w:t>
      </w:r>
      <w:r w:rsidRPr="009D20B0">
        <w:rPr>
          <w:rFonts w:hint="cs"/>
          <w:b/>
          <w:bCs/>
          <w:u w:val="single"/>
          <w:rtl/>
        </w:rPr>
        <w:t xml:space="preserve">פומבי </w:t>
      </w:r>
      <w:r w:rsidRPr="009D20B0">
        <w:rPr>
          <w:rFonts w:hint="cs"/>
          <w:b/>
          <w:bCs/>
          <w:sz w:val="24"/>
          <w:u w:val="single"/>
          <w:rtl/>
        </w:rPr>
        <w:t xml:space="preserve">מס' </w:t>
      </w:r>
      <w:r>
        <w:rPr>
          <w:rFonts w:ascii="David" w:hAnsi="David" w:hint="cs"/>
          <w:b/>
          <w:bCs/>
          <w:sz w:val="24"/>
          <w:szCs w:val="28"/>
          <w:u w:val="single"/>
          <w:rtl/>
        </w:rPr>
        <w:t>01-1543/2024</w:t>
      </w:r>
      <w:r w:rsidRPr="009D20B0">
        <w:rPr>
          <w:b/>
          <w:bCs/>
          <w:u w:val="single"/>
          <w:rtl/>
        </w:rPr>
        <w:t>–</w:t>
      </w:r>
      <w:r w:rsidRPr="009D20B0">
        <w:rPr>
          <w:rFonts w:hint="cs"/>
          <w:b/>
          <w:bCs/>
          <w:u w:val="single"/>
          <w:rtl/>
        </w:rPr>
        <w:t xml:space="preserve"> </w:t>
      </w:r>
      <w:r>
        <w:rPr>
          <w:rFonts w:ascii="Antique Olive" w:hAnsi="Antique Olive" w:hint="cs"/>
          <w:b/>
          <w:bCs/>
          <w:sz w:val="56"/>
          <w:u w:val="single"/>
          <w:rtl/>
        </w:rPr>
        <w:t xml:space="preserve"> </w:t>
      </w:r>
      <w:r w:rsidRPr="00E77F51">
        <w:rPr>
          <w:rFonts w:ascii="David" w:hAnsi="David"/>
          <w:b/>
          <w:bCs/>
          <w:sz w:val="24"/>
          <w:u w:val="single"/>
          <w:rtl/>
        </w:rPr>
        <w:t>ל</w:t>
      </w:r>
      <w:r w:rsidRPr="00E77F51">
        <w:rPr>
          <w:rFonts w:ascii="David" w:hAnsi="David" w:hint="cs"/>
          <w:b/>
          <w:bCs/>
          <w:sz w:val="24"/>
          <w:u w:val="single"/>
          <w:rtl/>
        </w:rPr>
        <w:t>ביצוע עבודות שיפוצים ובינוי קטנות במתקני מחוז ירושלים של הכללית</w:t>
      </w:r>
    </w:p>
    <w:p w:rsidR="00841487" w:rsidRDefault="00841487" w:rsidP="00841487">
      <w:pPr>
        <w:spacing w:line="276" w:lineRule="auto"/>
        <w:ind w:left="-316" w:right="-360"/>
        <w:rPr>
          <w:b/>
          <w:bCs/>
          <w:sz w:val="24"/>
          <w:rtl/>
        </w:rPr>
      </w:pPr>
    </w:p>
    <w:p w:rsidR="00841487" w:rsidRDefault="00841487" w:rsidP="00841487">
      <w:pPr>
        <w:spacing w:line="240" w:lineRule="auto"/>
        <w:ind w:left="-316" w:right="-360"/>
        <w:contextualSpacing/>
        <w:rPr>
          <w:b/>
          <w:bCs/>
          <w:sz w:val="24"/>
          <w:u w:val="single"/>
          <w:rtl/>
        </w:rPr>
      </w:pPr>
      <w:r w:rsidRPr="00502450">
        <w:rPr>
          <w:b/>
          <w:bCs/>
          <w:sz w:val="24"/>
          <w:rtl/>
        </w:rPr>
        <w:t>יובהר</w:t>
      </w:r>
      <w:r w:rsidRPr="00502450">
        <w:rPr>
          <w:rFonts w:hint="cs"/>
          <w:b/>
          <w:bCs/>
          <w:sz w:val="24"/>
          <w:rtl/>
        </w:rPr>
        <w:t>,</w:t>
      </w:r>
      <w:r w:rsidRPr="00502450">
        <w:rPr>
          <w:b/>
          <w:bCs/>
          <w:sz w:val="24"/>
          <w:rtl/>
        </w:rPr>
        <w:t xml:space="preserve"> כי העבודות תבוצענה תוך כדי פעילות המרפאה /היחידה, ובהתאם לסידורים שייקבעו עם</w:t>
      </w:r>
      <w:r>
        <w:rPr>
          <w:rFonts w:hint="cs"/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t>האחראי</w:t>
      </w:r>
      <w:r w:rsidRPr="00502450">
        <w:rPr>
          <w:b/>
          <w:bCs/>
          <w:sz w:val="24"/>
          <w:rtl/>
        </w:rPr>
        <w:t xml:space="preserve"> בכל אתר ואתר. על הספק ליתן את השירותים ללא גרימת שיבוש ו/או הפרעה ו/או מטרד</w:t>
      </w:r>
      <w:r w:rsidRPr="00502450">
        <w:rPr>
          <w:rFonts w:hint="cs"/>
          <w:b/>
          <w:bCs/>
          <w:sz w:val="24"/>
          <w:rtl/>
        </w:rPr>
        <w:t xml:space="preserve"> </w:t>
      </w:r>
      <w:r w:rsidRPr="00502450">
        <w:rPr>
          <w:b/>
          <w:bCs/>
          <w:sz w:val="24"/>
          <w:rtl/>
        </w:rPr>
        <w:t>לפעילות ועליו לעשות את כל הדרוש להקטנת ההפרעה, רעש, ריח, לכלוך העלולים להפריע</w:t>
      </w:r>
      <w:r w:rsidRPr="00502450">
        <w:rPr>
          <w:rFonts w:hint="cs"/>
          <w:b/>
          <w:bCs/>
          <w:sz w:val="24"/>
          <w:rtl/>
        </w:rPr>
        <w:t xml:space="preserve"> </w:t>
      </w:r>
      <w:r w:rsidRPr="00502450">
        <w:rPr>
          <w:b/>
          <w:bCs/>
          <w:sz w:val="24"/>
          <w:rtl/>
        </w:rPr>
        <w:t>לפעילות השוטפת במרפאות וביחידות</w:t>
      </w:r>
      <w:r w:rsidRPr="00502450">
        <w:rPr>
          <w:sz w:val="24"/>
          <w:rtl/>
        </w:rPr>
        <w:t>.</w:t>
      </w:r>
      <w:r>
        <w:rPr>
          <w:rFonts w:hint="cs"/>
          <w:b/>
          <w:bCs/>
          <w:sz w:val="24"/>
          <w:rtl/>
        </w:rPr>
        <w:t xml:space="preserve"> </w:t>
      </w:r>
    </w:p>
    <w:p w:rsidR="00841487" w:rsidRDefault="00841487" w:rsidP="00841487">
      <w:pPr>
        <w:pStyle w:val="1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spacing w:after="120" w:line="240" w:lineRule="auto"/>
        <w:ind w:right="0"/>
        <w:contextualSpacing/>
      </w:pPr>
      <w:r>
        <w:rPr>
          <w:rtl/>
        </w:rPr>
        <w:t xml:space="preserve">שירותי בריאות </w:t>
      </w:r>
      <w:r w:rsidRPr="00546238">
        <w:rPr>
          <w:rtl/>
        </w:rPr>
        <w:t xml:space="preserve">כללית (להלן גם: </w:t>
      </w:r>
      <w:r w:rsidRPr="0012187E">
        <w:rPr>
          <w:b/>
          <w:bCs/>
          <w:rtl/>
        </w:rPr>
        <w:t>"</w:t>
      </w:r>
      <w:r>
        <w:rPr>
          <w:b/>
          <w:bCs/>
          <w:rtl/>
        </w:rPr>
        <w:t>ה</w:t>
      </w:r>
      <w:r w:rsidRPr="0012187E">
        <w:rPr>
          <w:b/>
          <w:bCs/>
          <w:rtl/>
        </w:rPr>
        <w:t>כללית"</w:t>
      </w:r>
      <w:r w:rsidRPr="00546238">
        <w:rPr>
          <w:rtl/>
        </w:rPr>
        <w:t>) מזמינה בזאת הצעות מחיר ל</w:t>
      </w:r>
      <w:r>
        <w:rPr>
          <w:rtl/>
        </w:rPr>
        <w:t xml:space="preserve">התקשרות </w:t>
      </w:r>
      <w:r w:rsidRPr="00191393">
        <w:rPr>
          <w:rtl/>
        </w:rPr>
        <w:t>שעניינ</w:t>
      </w:r>
      <w:r w:rsidRPr="00191393">
        <w:rPr>
          <w:rFonts w:hint="cs"/>
          <w:rtl/>
        </w:rPr>
        <w:t>ה</w:t>
      </w:r>
      <w:r w:rsidRPr="00191393">
        <w:rPr>
          <w:rtl/>
        </w:rPr>
        <w:t xml:space="preserve"> </w:t>
      </w:r>
      <w:r w:rsidRPr="00191393">
        <w:rPr>
          <w:rFonts w:ascii="Antique Olive" w:hAnsi="Antique Olive" w:hint="cs"/>
          <w:sz w:val="24"/>
          <w:rtl/>
        </w:rPr>
        <w:t>מתן שירותי עבודות מסגרות/אומן מתכות במרפאות ובמתקני מחוז ירושלים</w:t>
      </w:r>
      <w:r w:rsidRPr="00A822FF">
        <w:rPr>
          <w:rtl/>
        </w:rPr>
        <w:t>,</w:t>
      </w:r>
      <w:r w:rsidRPr="00546238">
        <w:rPr>
          <w:rtl/>
        </w:rPr>
        <w:t xml:space="preserve"> הכל כמפורט במסמכי ההזמנה המפורטים להלן.</w:t>
      </w:r>
    </w:p>
    <w:p w:rsidR="00841487" w:rsidRDefault="00841487" w:rsidP="00841487">
      <w:pPr>
        <w:pStyle w:val="1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spacing w:after="120" w:line="240" w:lineRule="auto"/>
        <w:ind w:right="0"/>
        <w:contextualSpacing/>
      </w:pPr>
      <w:r w:rsidRPr="004C549E">
        <w:rPr>
          <w:rtl/>
        </w:rPr>
        <w:t xml:space="preserve">על כל מציע לעמוד לפחות בדרישות הבאות, שהנן </w:t>
      </w:r>
      <w:r w:rsidRPr="004C549E">
        <w:rPr>
          <w:b/>
          <w:bCs/>
          <w:rtl/>
        </w:rPr>
        <w:t>תנאי הסף</w:t>
      </w:r>
      <w:r w:rsidRPr="004C549E">
        <w:rPr>
          <w:rtl/>
        </w:rPr>
        <w:t xml:space="preserve"> להשתתפותו במכרז:</w:t>
      </w:r>
    </w:p>
    <w:p w:rsidR="00841487" w:rsidRPr="00D774F9" w:rsidRDefault="00841487" w:rsidP="00841487">
      <w:pPr>
        <w:pStyle w:val="1"/>
        <w:keepLines w:val="0"/>
        <w:numPr>
          <w:ilvl w:val="1"/>
          <w:numId w:val="3"/>
        </w:numPr>
        <w:tabs>
          <w:tab w:val="clear" w:pos="567"/>
          <w:tab w:val="clear" w:pos="1701"/>
        </w:tabs>
        <w:spacing w:after="120" w:line="240" w:lineRule="auto"/>
        <w:ind w:right="0"/>
        <w:contextualSpacing/>
        <w:rPr>
          <w:sz w:val="24"/>
          <w:lang w:val="x-none"/>
        </w:rPr>
      </w:pPr>
      <w:r w:rsidRPr="00D774F9">
        <w:rPr>
          <w:sz w:val="24"/>
          <w:rtl/>
        </w:rPr>
        <w:t>המציע מנהל פנקסי חשבונות ורשומות על פי הוראות חוק עסקאות גופים ציבוריים (אכיפת ניהול חשבונות ותשלום חובות מס), התשל"ו-1976 וקיימים בידו כל האישורים והתצהירים הנדרשים לפיו.</w:t>
      </w:r>
    </w:p>
    <w:p w:rsidR="00841487" w:rsidRPr="00FE0B03" w:rsidRDefault="00841487" w:rsidP="00841487">
      <w:pPr>
        <w:pStyle w:val="1"/>
        <w:keepLines w:val="0"/>
        <w:numPr>
          <w:ilvl w:val="1"/>
          <w:numId w:val="3"/>
        </w:numPr>
        <w:tabs>
          <w:tab w:val="clear" w:pos="567"/>
          <w:tab w:val="clear" w:pos="1701"/>
        </w:tabs>
        <w:spacing w:after="120" w:line="240" w:lineRule="auto"/>
        <w:ind w:right="0"/>
        <w:contextualSpacing/>
        <w:rPr>
          <w:sz w:val="24"/>
        </w:rPr>
      </w:pPr>
      <w:r w:rsidRPr="00FE0B03">
        <w:rPr>
          <w:sz w:val="24"/>
          <w:rtl/>
        </w:rPr>
        <w:t xml:space="preserve"> המציע רשום בפנקס הקבלנים </w:t>
      </w:r>
      <w:r w:rsidRPr="00FE0B03">
        <w:rPr>
          <w:rFonts w:hint="eastAsia"/>
          <w:sz w:val="24"/>
          <w:rtl/>
        </w:rPr>
        <w:t>בהתאם</w:t>
      </w:r>
      <w:r w:rsidRPr="00FE0B03">
        <w:rPr>
          <w:sz w:val="24"/>
          <w:rtl/>
        </w:rPr>
        <w:t xml:space="preserve"> </w:t>
      </w:r>
      <w:r w:rsidRPr="00FE0B03">
        <w:rPr>
          <w:rFonts w:hint="eastAsia"/>
          <w:sz w:val="24"/>
          <w:rtl/>
        </w:rPr>
        <w:t>ל</w:t>
      </w:r>
      <w:r w:rsidRPr="00FE0B03">
        <w:rPr>
          <w:sz w:val="24"/>
          <w:rtl/>
        </w:rPr>
        <w:t xml:space="preserve">חוק רישום קבלנים לעבודות הנדסה בנאיות, </w:t>
      </w:r>
    </w:p>
    <w:p w:rsidR="00841487" w:rsidRPr="00FE0B03" w:rsidRDefault="00841487" w:rsidP="00841487">
      <w:pPr>
        <w:pStyle w:val="1"/>
        <w:keepLines w:val="0"/>
        <w:numPr>
          <w:ilvl w:val="0"/>
          <w:numId w:val="0"/>
        </w:numPr>
        <w:tabs>
          <w:tab w:val="clear" w:pos="567"/>
          <w:tab w:val="clear" w:pos="1701"/>
        </w:tabs>
        <w:spacing w:after="120" w:line="240" w:lineRule="auto"/>
        <w:ind w:left="1418" w:right="0"/>
        <w:contextualSpacing/>
        <w:rPr>
          <w:sz w:val="24"/>
          <w:rtl/>
        </w:rPr>
      </w:pPr>
      <w:r w:rsidRPr="00FE0B03">
        <w:rPr>
          <w:sz w:val="24"/>
          <w:rtl/>
        </w:rPr>
        <w:t>התשכ"ט</w:t>
      </w:r>
      <w:r w:rsidRPr="00FE0B03">
        <w:rPr>
          <w:rFonts w:hint="cs"/>
          <w:sz w:val="24"/>
          <w:rtl/>
        </w:rPr>
        <w:t xml:space="preserve"> </w:t>
      </w:r>
      <w:r w:rsidRPr="00FE0B03">
        <w:rPr>
          <w:sz w:val="24"/>
          <w:rtl/>
        </w:rPr>
        <w:t xml:space="preserve">-1969 ותקנותיו, </w:t>
      </w:r>
      <w:r w:rsidRPr="00FE0B03">
        <w:rPr>
          <w:rFonts w:hint="eastAsia"/>
          <w:sz w:val="24"/>
          <w:rtl/>
        </w:rPr>
        <w:t>בקבוצה</w:t>
      </w:r>
      <w:r w:rsidRPr="00FE0B03">
        <w:rPr>
          <w:sz w:val="24"/>
          <w:rtl/>
        </w:rPr>
        <w:t xml:space="preserve"> </w:t>
      </w:r>
      <w:r w:rsidRPr="00FE0B03">
        <w:rPr>
          <w:rFonts w:hint="eastAsia"/>
          <w:sz w:val="24"/>
          <w:rtl/>
        </w:rPr>
        <w:t>א</w:t>
      </w:r>
      <w:r w:rsidRPr="00FE0B03">
        <w:rPr>
          <w:sz w:val="24"/>
          <w:rtl/>
        </w:rPr>
        <w:t>', ענף 131 (</w:t>
      </w:r>
      <w:r w:rsidRPr="00FE0B03">
        <w:rPr>
          <w:rFonts w:hint="eastAsia"/>
          <w:sz w:val="24"/>
          <w:rtl/>
        </w:rPr>
        <w:t>שיפוצים</w:t>
      </w:r>
      <w:r w:rsidRPr="00FE0B03">
        <w:rPr>
          <w:sz w:val="24"/>
          <w:rtl/>
        </w:rPr>
        <w:t xml:space="preserve">) </w:t>
      </w:r>
      <w:r w:rsidRPr="00FE0B03">
        <w:rPr>
          <w:rFonts w:hint="eastAsia"/>
          <w:sz w:val="24"/>
          <w:rtl/>
        </w:rPr>
        <w:t>סוג</w:t>
      </w:r>
      <w:r w:rsidRPr="00FE0B03">
        <w:rPr>
          <w:sz w:val="24"/>
          <w:rtl/>
        </w:rPr>
        <w:t xml:space="preserve"> </w:t>
      </w:r>
      <w:r w:rsidRPr="00FE0B03">
        <w:rPr>
          <w:rFonts w:hint="eastAsia"/>
          <w:sz w:val="24"/>
          <w:rtl/>
        </w:rPr>
        <w:t>ק</w:t>
      </w:r>
      <w:r w:rsidRPr="00FE0B03">
        <w:rPr>
          <w:sz w:val="24"/>
          <w:rtl/>
        </w:rPr>
        <w:t xml:space="preserve"> </w:t>
      </w:r>
      <w:r w:rsidRPr="00FE0B03">
        <w:rPr>
          <w:rFonts w:hint="eastAsia"/>
          <w:sz w:val="24"/>
          <w:rtl/>
        </w:rPr>
        <w:t>לפחות</w:t>
      </w:r>
      <w:r w:rsidRPr="00FE0B03">
        <w:rPr>
          <w:sz w:val="24"/>
          <w:rtl/>
        </w:rPr>
        <w:t>.</w:t>
      </w:r>
    </w:p>
    <w:p w:rsidR="00841487" w:rsidRPr="00FE0B03" w:rsidRDefault="00841487" w:rsidP="00841487">
      <w:pPr>
        <w:pStyle w:val="1"/>
        <w:keepLines w:val="0"/>
        <w:numPr>
          <w:ilvl w:val="1"/>
          <w:numId w:val="3"/>
        </w:numPr>
        <w:tabs>
          <w:tab w:val="clear" w:pos="567"/>
          <w:tab w:val="clear" w:pos="1701"/>
        </w:tabs>
        <w:spacing w:after="120" w:line="240" w:lineRule="auto"/>
        <w:ind w:right="0"/>
        <w:contextualSpacing/>
        <w:rPr>
          <w:sz w:val="24"/>
        </w:rPr>
      </w:pPr>
      <w:r>
        <w:rPr>
          <w:rFonts w:hint="cs"/>
          <w:sz w:val="24"/>
          <w:rtl/>
        </w:rPr>
        <w:t xml:space="preserve"> </w:t>
      </w:r>
      <w:r w:rsidRPr="00FE0B03">
        <w:rPr>
          <w:rFonts w:hint="cs"/>
          <w:sz w:val="24"/>
          <w:rtl/>
        </w:rPr>
        <w:t xml:space="preserve">המציע סיפק את השירותים מושא מכרז זה באופן קבוע ל </w:t>
      </w:r>
      <w:r w:rsidRPr="00FE0B03">
        <w:rPr>
          <w:sz w:val="24"/>
          <w:rtl/>
        </w:rPr>
        <w:t>–</w:t>
      </w:r>
      <w:r w:rsidRPr="00FE0B03">
        <w:rPr>
          <w:rFonts w:hint="cs"/>
          <w:sz w:val="24"/>
          <w:rtl/>
        </w:rPr>
        <w:t xml:space="preserve"> 2 לקוחות גדולים או יותר, וזאת במשך 24 חודשים רצופים ועוקבים לפחות מתוך 36 החודשים האחרונים שקדמו למועד האחרון להגשת הצעות במכרז. </w:t>
      </w:r>
    </w:p>
    <w:p w:rsidR="00841487" w:rsidRPr="00FE0B03" w:rsidRDefault="00841487" w:rsidP="00841487">
      <w:pPr>
        <w:pStyle w:val="1"/>
        <w:keepLines w:val="0"/>
        <w:numPr>
          <w:ilvl w:val="0"/>
          <w:numId w:val="0"/>
        </w:numPr>
        <w:tabs>
          <w:tab w:val="clear" w:pos="567"/>
          <w:tab w:val="clear" w:pos="1701"/>
        </w:tabs>
        <w:spacing w:after="120" w:line="240" w:lineRule="auto"/>
        <w:ind w:left="1418" w:right="0"/>
        <w:contextualSpacing/>
        <w:rPr>
          <w:sz w:val="24"/>
          <w:rtl/>
        </w:rPr>
      </w:pPr>
      <w:r w:rsidRPr="00FE0B03">
        <w:rPr>
          <w:sz w:val="24"/>
          <w:rtl/>
        </w:rPr>
        <w:t xml:space="preserve">בסעיף זה, "לקוח גדול" – לקוח לו סיפק המציע </w:t>
      </w:r>
      <w:r w:rsidRPr="00FE0B03">
        <w:rPr>
          <w:rFonts w:hint="cs"/>
          <w:sz w:val="24"/>
          <w:rtl/>
        </w:rPr>
        <w:t>את השירותים מושא המכרז</w:t>
      </w:r>
      <w:r w:rsidRPr="00FE0B03">
        <w:rPr>
          <w:sz w:val="24"/>
          <w:rtl/>
        </w:rPr>
        <w:t xml:space="preserve"> </w:t>
      </w:r>
      <w:r w:rsidRPr="00FE0B03">
        <w:rPr>
          <w:rFonts w:hint="cs"/>
          <w:sz w:val="24"/>
          <w:rtl/>
        </w:rPr>
        <w:t>באופן קבוע ו</w:t>
      </w:r>
      <w:r w:rsidRPr="00FE0B03">
        <w:rPr>
          <w:sz w:val="24"/>
          <w:rtl/>
        </w:rPr>
        <w:t xml:space="preserve">בהיקף מצטבר של </w:t>
      </w:r>
      <w:r w:rsidRPr="00FE0B03">
        <w:rPr>
          <w:rFonts w:hint="cs"/>
          <w:sz w:val="24"/>
          <w:rtl/>
        </w:rPr>
        <w:t>1,000,000 ₪ (לא כולל מע"מ)</w:t>
      </w:r>
      <w:r w:rsidRPr="00FE0B03">
        <w:rPr>
          <w:sz w:val="24"/>
          <w:rtl/>
        </w:rPr>
        <w:t xml:space="preserve"> לפחות</w:t>
      </w:r>
      <w:r w:rsidRPr="00FE0B03">
        <w:rPr>
          <w:rFonts w:hint="cs"/>
          <w:sz w:val="24"/>
          <w:rtl/>
        </w:rPr>
        <w:t xml:space="preserve"> </w:t>
      </w:r>
      <w:r w:rsidRPr="00FE0B03">
        <w:rPr>
          <w:sz w:val="24"/>
          <w:rtl/>
        </w:rPr>
        <w:t>ב</w:t>
      </w:r>
      <w:r w:rsidRPr="00FE0B03">
        <w:rPr>
          <w:rFonts w:hint="cs"/>
          <w:sz w:val="24"/>
          <w:rtl/>
        </w:rPr>
        <w:t>תקופה של 24 חודשים רצופים ועוקבים</w:t>
      </w:r>
      <w:r w:rsidRPr="00FE0B03">
        <w:rPr>
          <w:sz w:val="24"/>
          <w:rtl/>
        </w:rPr>
        <w:t>.</w:t>
      </w:r>
      <w:r w:rsidRPr="00FE0B03">
        <w:rPr>
          <w:rFonts w:hint="cs"/>
          <w:sz w:val="24"/>
          <w:rtl/>
        </w:rPr>
        <w:t xml:space="preserve"> </w:t>
      </w:r>
    </w:p>
    <w:p w:rsidR="00841487" w:rsidRPr="00FE0B03" w:rsidRDefault="00841487" w:rsidP="00841487">
      <w:pPr>
        <w:pStyle w:val="1"/>
        <w:keepLines w:val="0"/>
        <w:numPr>
          <w:ilvl w:val="1"/>
          <w:numId w:val="3"/>
        </w:numPr>
        <w:tabs>
          <w:tab w:val="clear" w:pos="567"/>
          <w:tab w:val="clear" w:pos="1701"/>
        </w:tabs>
        <w:spacing w:after="120" w:line="240" w:lineRule="auto"/>
        <w:ind w:right="0"/>
        <w:contextualSpacing/>
        <w:rPr>
          <w:sz w:val="24"/>
        </w:rPr>
      </w:pPr>
      <w:r w:rsidRPr="00FE0B03">
        <w:rPr>
          <w:sz w:val="24"/>
          <w:rtl/>
        </w:rPr>
        <w:t>המציע אינו נמצא בהלי</w:t>
      </w:r>
      <w:r w:rsidRPr="00FE0B03">
        <w:rPr>
          <w:rFonts w:hint="eastAsia"/>
          <w:sz w:val="24"/>
          <w:rtl/>
        </w:rPr>
        <w:t>ך</w:t>
      </w:r>
      <w:r w:rsidRPr="00FE0B03">
        <w:rPr>
          <w:sz w:val="24"/>
          <w:rtl/>
        </w:rPr>
        <w:t xml:space="preserve"> של כינוס נכסים, הקפאת הליכים, פשיטת רגל, </w:t>
      </w:r>
      <w:r w:rsidRPr="00FE0B03">
        <w:rPr>
          <w:rFonts w:hint="eastAsia"/>
          <w:sz w:val="24"/>
          <w:rtl/>
        </w:rPr>
        <w:t>פירוק</w:t>
      </w:r>
      <w:r w:rsidRPr="00FE0B03">
        <w:rPr>
          <w:sz w:val="24"/>
          <w:rtl/>
        </w:rPr>
        <w:t xml:space="preserve"> או הסדר נושים וכן (לגבי מציע שהינו תאגיד) – לא קיימת למציע הערת "עסק חי" בדוח הכספי האחרון.</w:t>
      </w:r>
    </w:p>
    <w:p w:rsidR="00841487" w:rsidRPr="00D774F9" w:rsidRDefault="00841487" w:rsidP="00841487">
      <w:pPr>
        <w:pStyle w:val="1"/>
        <w:keepLines w:val="0"/>
        <w:numPr>
          <w:ilvl w:val="0"/>
          <w:numId w:val="0"/>
        </w:numPr>
        <w:tabs>
          <w:tab w:val="clear" w:pos="567"/>
          <w:tab w:val="clear" w:pos="1134"/>
          <w:tab w:val="clear" w:pos="1701"/>
        </w:tabs>
        <w:spacing w:after="120" w:line="240" w:lineRule="auto"/>
        <w:ind w:left="648" w:right="0"/>
        <w:contextualSpacing/>
        <w:rPr>
          <w:rtl/>
        </w:rPr>
      </w:pPr>
    </w:p>
    <w:p w:rsidR="00841487" w:rsidRDefault="00841487" w:rsidP="00841487">
      <w:pPr>
        <w:pStyle w:val="1"/>
        <w:keepLines w:val="0"/>
        <w:numPr>
          <w:ilvl w:val="0"/>
          <w:numId w:val="0"/>
        </w:numPr>
        <w:tabs>
          <w:tab w:val="clear" w:pos="567"/>
          <w:tab w:val="clear" w:pos="1134"/>
          <w:tab w:val="clear" w:pos="1701"/>
        </w:tabs>
        <w:spacing w:after="120" w:line="240" w:lineRule="auto"/>
        <w:ind w:left="648" w:right="0"/>
        <w:contextualSpacing/>
        <w:rPr>
          <w:rtl/>
        </w:rPr>
      </w:pPr>
    </w:p>
    <w:p w:rsidR="00841487" w:rsidRPr="004C549E" w:rsidRDefault="00841487" w:rsidP="00841487">
      <w:pPr>
        <w:pStyle w:val="1"/>
        <w:keepLines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spacing w:after="120" w:line="240" w:lineRule="auto"/>
        <w:ind w:right="0"/>
        <w:contextualSpacing/>
      </w:pPr>
      <w:r w:rsidRPr="004C549E">
        <w:rPr>
          <w:rFonts w:hint="cs"/>
          <w:rtl/>
        </w:rPr>
        <w:t>המציע אחראי לבדוק בעצמו את תנאי המכרז, לרבות פרטי ותנאי ההתקשרות וכל מידע רל</w:t>
      </w:r>
      <w:r>
        <w:rPr>
          <w:rFonts w:hint="cs"/>
          <w:rtl/>
        </w:rPr>
        <w:t>וו</w:t>
      </w:r>
      <w:r w:rsidRPr="004C549E">
        <w:rPr>
          <w:rFonts w:hint="cs"/>
          <w:rtl/>
        </w:rPr>
        <w:t xml:space="preserve">נטי אחר. להסרת ספק, התנאים המפורטים במכתב זה כוללים תמצית תנאי הסף להשתתפות במכרז בלבד. אי עמידת המציע בתנאי הסף תביא לפסילת הצעתו. </w:t>
      </w:r>
      <w:r>
        <w:rPr>
          <w:rFonts w:hint="cs"/>
          <w:b/>
          <w:bCs/>
          <w:rtl/>
        </w:rPr>
        <w:t xml:space="preserve">כל יתר התנאים והמסמכים הנדרשים </w:t>
      </w:r>
      <w:r w:rsidRPr="004C549E">
        <w:rPr>
          <w:rFonts w:hint="cs"/>
          <w:b/>
          <w:bCs/>
          <w:rtl/>
        </w:rPr>
        <w:t>מפורטים בהרחבה בשאר מסמכי המכרז</w:t>
      </w:r>
      <w:r w:rsidRPr="004C549E">
        <w:rPr>
          <w:rFonts w:hint="cs"/>
          <w:rtl/>
        </w:rPr>
        <w:t xml:space="preserve">. </w:t>
      </w:r>
    </w:p>
    <w:p w:rsidR="00841487" w:rsidRPr="00E40DA2" w:rsidRDefault="00841487" w:rsidP="00841487">
      <w:pPr>
        <w:widowControl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sz w:val="24"/>
        </w:rPr>
      </w:pPr>
      <w:r w:rsidRPr="00E40DA2">
        <w:rPr>
          <w:rFonts w:hint="cs"/>
          <w:sz w:val="24"/>
          <w:rtl/>
        </w:rPr>
        <w:t xml:space="preserve">יתר </w:t>
      </w:r>
      <w:r w:rsidRPr="00E40DA2">
        <w:rPr>
          <w:rFonts w:ascii="David" w:hAnsi="David"/>
          <w:sz w:val="26"/>
          <w:rtl/>
        </w:rPr>
        <w:t>תנאי המכרז והליך בחירת ההצעה הזוכ</w:t>
      </w:r>
      <w:r>
        <w:rPr>
          <w:rFonts w:ascii="David" w:hAnsi="David"/>
          <w:sz w:val="26"/>
          <w:rtl/>
        </w:rPr>
        <w:t>ה מפורטים במסמכי המכרז המלאים, </w:t>
      </w:r>
      <w:r>
        <w:rPr>
          <w:rFonts w:ascii="David" w:hAnsi="David" w:hint="cs"/>
          <w:sz w:val="26"/>
          <w:rtl/>
        </w:rPr>
        <w:t xml:space="preserve"> </w:t>
      </w:r>
      <w:r w:rsidRPr="00E40DA2">
        <w:rPr>
          <w:rFonts w:ascii="David" w:hAnsi="David"/>
          <w:sz w:val="26"/>
          <w:rtl/>
        </w:rPr>
        <w:t xml:space="preserve">המתפרסמים באתר </w:t>
      </w:r>
      <w:r w:rsidRPr="00E40DA2">
        <w:rPr>
          <w:rFonts w:ascii="David" w:hAnsi="David"/>
          <w:sz w:val="24"/>
          <w:rtl/>
        </w:rPr>
        <w:t xml:space="preserve">המכרזים של כללית, בו עשויים להתפרסם מעת לעת עדכונים שוטפים אודות המכרז בכתובת: </w:t>
      </w:r>
      <w:hyperlink r:id="rId5" w:history="1">
        <w:r w:rsidRPr="00E40DA2">
          <w:rPr>
            <w:rFonts w:ascii="David" w:hAnsi="David"/>
            <w:sz w:val="24"/>
            <w:u w:val="single"/>
          </w:rPr>
          <w:t>www.clalit.co.il</w:t>
        </w:r>
      </w:hyperlink>
      <w:r w:rsidRPr="00E40DA2">
        <w:rPr>
          <w:rFonts w:ascii="David" w:hAnsi="David"/>
          <w:sz w:val="24"/>
          <w:rtl/>
        </w:rPr>
        <w:t xml:space="preserve"> באמצעות מערכת רמדור נט בכתובת </w:t>
      </w:r>
      <w:r w:rsidRPr="00E40DA2">
        <w:rPr>
          <w:rFonts w:ascii="David" w:hAnsi="David"/>
          <w:b/>
          <w:bCs/>
          <w:sz w:val="24"/>
        </w:rPr>
        <w:t>ramdor.net</w:t>
      </w:r>
      <w:r w:rsidRPr="00E40DA2">
        <w:rPr>
          <w:rFonts w:ascii="David" w:hAnsi="David"/>
          <w:sz w:val="24"/>
          <w:rtl/>
        </w:rPr>
        <w:t>.</w:t>
      </w:r>
    </w:p>
    <w:p w:rsidR="00841487" w:rsidRPr="00E40DA2" w:rsidRDefault="00841487" w:rsidP="00841487">
      <w:pPr>
        <w:widowControl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ascii="David" w:hAnsi="David"/>
          <w:sz w:val="24"/>
        </w:rPr>
      </w:pPr>
      <w:r w:rsidRPr="00E40DA2">
        <w:rPr>
          <w:rFonts w:hint="eastAsia"/>
          <w:sz w:val="24"/>
          <w:rtl/>
        </w:rPr>
        <w:t>שאלות</w:t>
      </w:r>
      <w:r w:rsidRPr="00E40DA2">
        <w:rPr>
          <w:sz w:val="24"/>
          <w:rtl/>
        </w:rPr>
        <w:t xml:space="preserve"> </w:t>
      </w:r>
      <w:r w:rsidRPr="00E40DA2">
        <w:rPr>
          <w:rFonts w:ascii="David" w:hAnsi="David"/>
          <w:sz w:val="24"/>
          <w:rtl/>
        </w:rPr>
        <w:t xml:space="preserve">ובירורים לגבי המכרז ניתן להעביר לכללית, באמצעות </w:t>
      </w:r>
      <w:r w:rsidRPr="00E40DA2">
        <w:rPr>
          <w:rFonts w:ascii="David" w:hAnsi="David" w:hint="cs"/>
          <w:sz w:val="24"/>
          <w:rtl/>
        </w:rPr>
        <w:t>מערכת המכרזים המקוונת רמדורנט</w:t>
      </w:r>
      <w:r w:rsidRPr="00E40DA2">
        <w:rPr>
          <w:rFonts w:ascii="David" w:hAnsi="David"/>
          <w:sz w:val="24"/>
          <w:rtl/>
        </w:rPr>
        <w:t>, עבור "</w:t>
      </w:r>
      <w:r w:rsidRPr="00E40DA2">
        <w:rPr>
          <w:rFonts w:ascii="David" w:hAnsi="David"/>
          <w:b/>
          <w:bCs/>
          <w:sz w:val="24"/>
          <w:rtl/>
        </w:rPr>
        <w:t>מכרז פומבי</w:t>
      </w:r>
      <w:r w:rsidRPr="00E40DA2">
        <w:rPr>
          <w:rFonts w:ascii="David" w:hAnsi="David" w:hint="cs"/>
          <w:b/>
          <w:bCs/>
          <w:sz w:val="24"/>
          <w:rtl/>
        </w:rPr>
        <w:t xml:space="preserve"> מס'</w:t>
      </w:r>
      <w:r w:rsidRPr="00E40DA2">
        <w:rPr>
          <w:rFonts w:ascii="David" w:hAnsi="David"/>
          <w:b/>
          <w:bCs/>
          <w:sz w:val="24"/>
          <w:rtl/>
        </w:rPr>
        <w:t xml:space="preserve"> </w:t>
      </w:r>
      <w:r>
        <w:rPr>
          <w:rFonts w:ascii="David" w:hAnsi="David" w:hint="cs"/>
          <w:b/>
          <w:bCs/>
          <w:sz w:val="24"/>
          <w:szCs w:val="28"/>
          <w:u w:val="single"/>
          <w:rtl/>
        </w:rPr>
        <w:t>01-1543/2024</w:t>
      </w:r>
      <w:r w:rsidRPr="00FE0B03">
        <w:rPr>
          <w:rFonts w:ascii="David" w:hAnsi="David"/>
          <w:b/>
          <w:bCs/>
          <w:sz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 w:val="24"/>
          <w:u w:val="single"/>
          <w:rtl/>
        </w:rPr>
        <w:t>"</w:t>
      </w:r>
      <w:r w:rsidRPr="00E77F51">
        <w:rPr>
          <w:rFonts w:ascii="David" w:hAnsi="David"/>
          <w:b/>
          <w:bCs/>
          <w:sz w:val="24"/>
          <w:u w:val="single"/>
          <w:rtl/>
        </w:rPr>
        <w:t>ל</w:t>
      </w:r>
      <w:r w:rsidRPr="00E77F51">
        <w:rPr>
          <w:rFonts w:ascii="David" w:hAnsi="David" w:hint="cs"/>
          <w:b/>
          <w:bCs/>
          <w:sz w:val="24"/>
          <w:u w:val="single"/>
          <w:rtl/>
        </w:rPr>
        <w:t>ביצוע עבודות שיפוצים ובינוי קטנות במתקני מחוז ירושלים של הכללית</w:t>
      </w:r>
      <w:r w:rsidRPr="00E77F51">
        <w:rPr>
          <w:noProof w:val="0"/>
          <w:sz w:val="24"/>
          <w:rtl/>
        </w:rPr>
        <w:t xml:space="preserve"> </w:t>
      </w:r>
      <w:r>
        <w:rPr>
          <w:rFonts w:ascii="David" w:hAnsi="David" w:hint="cs"/>
          <w:b/>
          <w:bCs/>
          <w:sz w:val="24"/>
          <w:rtl/>
        </w:rPr>
        <w:t>"</w:t>
      </w:r>
      <w:r>
        <w:rPr>
          <w:rFonts w:ascii="David" w:hAnsi="David" w:hint="cs"/>
          <w:sz w:val="24"/>
          <w:rtl/>
        </w:rPr>
        <w:t xml:space="preserve"> </w:t>
      </w:r>
      <w:r w:rsidRPr="00E40DA2">
        <w:rPr>
          <w:rFonts w:ascii="David" w:hAnsi="David"/>
          <w:b/>
          <w:bCs/>
          <w:sz w:val="24"/>
          <w:u w:val="single"/>
          <w:rtl/>
        </w:rPr>
        <w:t xml:space="preserve">וזאת עד ליום 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9.10.2024 </w:t>
      </w:r>
      <w:r w:rsidRPr="00E40DA2">
        <w:rPr>
          <w:rFonts w:ascii="David" w:hAnsi="David" w:hint="cs"/>
          <w:b/>
          <w:bCs/>
          <w:sz w:val="24"/>
          <w:u w:val="single"/>
          <w:rtl/>
        </w:rPr>
        <w:t xml:space="preserve"> </w:t>
      </w:r>
      <w:r w:rsidRPr="00E40DA2">
        <w:rPr>
          <w:rFonts w:ascii="David" w:hAnsi="David" w:hint="eastAsia"/>
          <w:b/>
          <w:bCs/>
          <w:sz w:val="24"/>
          <w:u w:val="single"/>
          <w:rtl/>
        </w:rPr>
        <w:t>בשעה</w:t>
      </w:r>
      <w:r w:rsidRPr="00E40DA2">
        <w:rPr>
          <w:rFonts w:ascii="David" w:hAnsi="David"/>
          <w:b/>
          <w:bCs/>
          <w:sz w:val="24"/>
          <w:u w:val="single"/>
          <w:rtl/>
        </w:rPr>
        <w:t xml:space="preserve"> 12:00</w:t>
      </w:r>
      <w:r w:rsidRPr="00E40DA2">
        <w:rPr>
          <w:rFonts w:ascii="David" w:hAnsi="David"/>
          <w:sz w:val="24"/>
          <w:rtl/>
        </w:rPr>
        <w:t>.</w:t>
      </w:r>
    </w:p>
    <w:p w:rsidR="00841487" w:rsidRPr="002C1474" w:rsidRDefault="00841487" w:rsidP="00841487">
      <w:pPr>
        <w:widowControl w:val="0"/>
        <w:numPr>
          <w:ilvl w:val="0"/>
          <w:numId w:val="3"/>
        </w:numPr>
        <w:tabs>
          <w:tab w:val="clear" w:pos="567"/>
          <w:tab w:val="clear" w:pos="1134"/>
          <w:tab w:val="clear" w:pos="1701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ascii="David" w:hAnsi="David"/>
          <w:sz w:val="24"/>
        </w:rPr>
      </w:pPr>
      <w:r w:rsidRPr="002C1474">
        <w:rPr>
          <w:rFonts w:ascii="David" w:hAnsi="David" w:hint="eastAsia"/>
          <w:sz w:val="24"/>
          <w:rtl/>
        </w:rPr>
        <w:t>מובהר</w:t>
      </w:r>
      <w:r w:rsidRPr="002C1474">
        <w:rPr>
          <w:rFonts w:ascii="David" w:hAnsi="David"/>
          <w:sz w:val="24"/>
          <w:rtl/>
        </w:rPr>
        <w:t xml:space="preserve"> כי את כל מסמכי המכרז יוריד המציע מאתר האינטרנט שכתובתו </w:t>
      </w:r>
      <w:r w:rsidRPr="002C1474">
        <w:rPr>
          <w:rFonts w:ascii="David" w:hAnsi="David"/>
          <w:sz w:val="24"/>
          <w:u w:val="single"/>
        </w:rPr>
        <w:t>www.clalit.co.il</w:t>
      </w:r>
      <w:r w:rsidRPr="002C1474">
        <w:rPr>
          <w:rFonts w:ascii="David" w:hAnsi="David"/>
          <w:sz w:val="24"/>
          <w:rtl/>
        </w:rPr>
        <w:t xml:space="preserve"> (לתמיכה טכנית התקשרו לטלפון: 03-7667777 שלוחה 1 בימים א'-ה' בין השעות 8:00-18:00). את הצעתו הכספית בצירוף כל מסמכי המכרז חתומים (בין אם בחתימה אלקטרונית ובין אם בחתימה ידנית וסריקת החומר למערכת) </w:t>
      </w:r>
      <w:r w:rsidRPr="00420888">
        <w:rPr>
          <w:rFonts w:ascii="David" w:hAnsi="David"/>
          <w:b/>
          <w:bCs/>
          <w:sz w:val="24"/>
          <w:rtl/>
        </w:rPr>
        <w:t xml:space="preserve">יגיש המציע לתיבת מכרזים אלקטרונית במערכת רמדורנט בכתובת </w:t>
      </w:r>
      <w:r w:rsidRPr="00420888">
        <w:rPr>
          <w:rFonts w:ascii="David" w:hAnsi="David"/>
          <w:b/>
          <w:bCs/>
          <w:sz w:val="24"/>
        </w:rPr>
        <w:t>ramdor.net</w:t>
      </w:r>
      <w:r w:rsidRPr="00420888">
        <w:rPr>
          <w:rFonts w:ascii="David" w:hAnsi="David"/>
          <w:b/>
          <w:bCs/>
          <w:sz w:val="24"/>
          <w:rtl/>
        </w:rPr>
        <w:t>,</w:t>
      </w:r>
      <w:r w:rsidRPr="002C1474">
        <w:rPr>
          <w:rFonts w:ascii="David" w:hAnsi="David"/>
          <w:sz w:val="24"/>
          <w:rtl/>
        </w:rPr>
        <w:t xml:space="preserve"> </w:t>
      </w:r>
      <w:r w:rsidRPr="002C1474">
        <w:rPr>
          <w:rFonts w:ascii="David" w:hAnsi="David" w:hint="eastAsia"/>
          <w:b/>
          <w:bCs/>
          <w:sz w:val="24"/>
          <w:u w:val="single"/>
          <w:rtl/>
        </w:rPr>
        <w:t>ו</w:t>
      </w:r>
      <w:r w:rsidRPr="002C1474">
        <w:rPr>
          <w:rFonts w:ascii="David" w:hAnsi="David"/>
          <w:b/>
          <w:bCs/>
          <w:sz w:val="24"/>
          <w:u w:val="single"/>
          <w:rtl/>
        </w:rPr>
        <w:t xml:space="preserve">זאת עד </w:t>
      </w:r>
      <w:r w:rsidRPr="002C1474">
        <w:rPr>
          <w:rFonts w:ascii="David" w:hAnsi="David" w:hint="eastAsia"/>
          <w:b/>
          <w:bCs/>
          <w:sz w:val="24"/>
          <w:u w:val="single"/>
          <w:rtl/>
        </w:rPr>
        <w:t>ולא</w:t>
      </w:r>
      <w:r w:rsidRPr="002C1474">
        <w:rPr>
          <w:rFonts w:ascii="David" w:hAnsi="David"/>
          <w:b/>
          <w:bCs/>
          <w:sz w:val="24"/>
          <w:u w:val="single"/>
          <w:rtl/>
        </w:rPr>
        <w:t xml:space="preserve"> </w:t>
      </w:r>
      <w:r w:rsidRPr="002C1474">
        <w:rPr>
          <w:rFonts w:ascii="David" w:hAnsi="David" w:hint="eastAsia"/>
          <w:b/>
          <w:bCs/>
          <w:sz w:val="24"/>
          <w:u w:val="single"/>
          <w:rtl/>
        </w:rPr>
        <w:t>יאוחר</w:t>
      </w:r>
      <w:r w:rsidRPr="002C1474">
        <w:rPr>
          <w:rFonts w:ascii="David" w:hAnsi="David"/>
          <w:b/>
          <w:bCs/>
          <w:sz w:val="24"/>
          <w:u w:val="single"/>
          <w:rtl/>
        </w:rPr>
        <w:t xml:space="preserve"> </w:t>
      </w:r>
      <w:r w:rsidRPr="002C1474">
        <w:rPr>
          <w:rFonts w:ascii="David" w:hAnsi="David" w:hint="eastAsia"/>
          <w:b/>
          <w:bCs/>
          <w:sz w:val="24"/>
          <w:u w:val="single"/>
          <w:rtl/>
        </w:rPr>
        <w:t>מיום</w:t>
      </w:r>
      <w:r w:rsidRPr="002C1474">
        <w:rPr>
          <w:rFonts w:ascii="David" w:hAnsi="David"/>
          <w:b/>
          <w:bCs/>
          <w:sz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28.10.24 </w:t>
      </w:r>
      <w:r w:rsidRPr="002C1474">
        <w:rPr>
          <w:rFonts w:ascii="David" w:hAnsi="David"/>
          <w:b/>
          <w:bCs/>
          <w:sz w:val="24"/>
          <w:u w:val="single"/>
          <w:rtl/>
        </w:rPr>
        <w:t>בשעה 12:00</w:t>
      </w:r>
      <w:r w:rsidRPr="002C1474">
        <w:rPr>
          <w:rFonts w:ascii="David" w:hAnsi="David"/>
          <w:b/>
          <w:bCs/>
          <w:sz w:val="24"/>
          <w:rtl/>
        </w:rPr>
        <w:t xml:space="preserve"> </w:t>
      </w:r>
      <w:r w:rsidRPr="002C1474">
        <w:rPr>
          <w:rFonts w:ascii="David" w:hAnsi="David"/>
          <w:sz w:val="24"/>
          <w:rtl/>
        </w:rPr>
        <w:t>(</w:t>
      </w:r>
      <w:r w:rsidRPr="002C1474">
        <w:rPr>
          <w:rFonts w:ascii="David" w:hAnsi="David"/>
          <w:b/>
          <w:sz w:val="24"/>
          <w:rtl/>
        </w:rPr>
        <w:t>להלן: "</w:t>
      </w:r>
      <w:r w:rsidRPr="002C1474">
        <w:rPr>
          <w:rFonts w:ascii="David" w:hAnsi="David"/>
          <w:bCs/>
          <w:sz w:val="24"/>
          <w:rtl/>
        </w:rPr>
        <w:t>המועד האחרון להגשת ההצעות</w:t>
      </w:r>
      <w:r w:rsidRPr="002C1474">
        <w:rPr>
          <w:rFonts w:ascii="David" w:hAnsi="David"/>
          <w:b/>
          <w:sz w:val="24"/>
          <w:rtl/>
        </w:rPr>
        <w:t>").</w:t>
      </w:r>
    </w:p>
    <w:p w:rsidR="00841487" w:rsidRPr="001A1683" w:rsidRDefault="00841487" w:rsidP="00841487">
      <w:pPr>
        <w:pStyle w:val="1"/>
        <w:keepLines w:val="0"/>
        <w:numPr>
          <w:ilvl w:val="0"/>
          <w:numId w:val="0"/>
        </w:numPr>
        <w:tabs>
          <w:tab w:val="clear" w:pos="567"/>
          <w:tab w:val="clear" w:pos="1134"/>
          <w:tab w:val="clear" w:pos="1701"/>
        </w:tabs>
        <w:spacing w:line="240" w:lineRule="auto"/>
        <w:ind w:left="646" w:right="0"/>
        <w:contextualSpacing/>
      </w:pPr>
    </w:p>
    <w:p w:rsidR="00841487" w:rsidRDefault="00841487" w:rsidP="00841487">
      <w:pPr>
        <w:tabs>
          <w:tab w:val="center" w:pos="6661"/>
        </w:tabs>
        <w:spacing w:line="240" w:lineRule="auto"/>
        <w:contextualSpacing/>
        <w:jc w:val="right"/>
        <w:rPr>
          <w:b/>
          <w:bCs/>
          <w:sz w:val="24"/>
          <w:rtl/>
        </w:rPr>
      </w:pPr>
      <w:r w:rsidRPr="004C549E">
        <w:rPr>
          <w:rFonts w:hint="cs"/>
          <w:b/>
          <w:bCs/>
          <w:sz w:val="24"/>
          <w:rtl/>
        </w:rPr>
        <w:t>שירותי בריאות כללית</w:t>
      </w:r>
    </w:p>
    <w:p w:rsidR="00841487" w:rsidRDefault="00841487" w:rsidP="00841487">
      <w:pPr>
        <w:pStyle w:val="a"/>
        <w:numPr>
          <w:ilvl w:val="0"/>
          <w:numId w:val="0"/>
        </w:numPr>
        <w:tabs>
          <w:tab w:val="left" w:pos="720"/>
        </w:tabs>
        <w:spacing w:before="0" w:line="240" w:lineRule="auto"/>
        <w:ind w:left="-482"/>
        <w:contextualSpacing/>
        <w:rPr>
          <w:sz w:val="24"/>
          <w:rtl/>
        </w:rPr>
      </w:pPr>
      <w:r w:rsidRPr="004C549E">
        <w:rPr>
          <w:rFonts w:hint="cs"/>
          <w:rtl/>
        </w:rPr>
        <w:t xml:space="preserve">מודעה זו מתפרסמת גם באתר הכללית: </w:t>
      </w:r>
      <w:hyperlink r:id="rId6" w:history="1">
        <w:r w:rsidRPr="006A44DC">
          <w:rPr>
            <w:rStyle w:val="Hyperlink"/>
            <w:sz w:val="24"/>
            <w:szCs w:val="22"/>
          </w:rPr>
          <w:t>www.clalit.co.il</w:t>
        </w:r>
      </w:hyperlink>
    </w:p>
    <w:p w:rsidR="008200F8" w:rsidRDefault="008200F8">
      <w:bookmarkStart w:id="0" w:name="_GoBack"/>
      <w:bookmarkEnd w:id="0"/>
    </w:p>
    <w:sectPr w:rsidR="008200F8" w:rsidSect="00C931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EC6E46E"/>
    <w:lvl w:ilvl="0">
      <w:start w:val="1"/>
      <w:numFmt w:val="decimal"/>
      <w:pStyle w:val="1"/>
      <w:lvlText w:val="%1."/>
      <w:lvlJc w:val="right"/>
      <w:pPr>
        <w:tabs>
          <w:tab w:val="num" w:pos="-1"/>
        </w:tabs>
        <w:ind w:left="-1" w:hanging="283"/>
      </w:pPr>
      <w:rPr>
        <w:rFonts w:cs="Courier New" w:hint="default"/>
        <w:bCs/>
        <w:iCs w:val="0"/>
        <w:sz w:val="20"/>
        <w:szCs w:val="20"/>
      </w:rPr>
    </w:lvl>
    <w:lvl w:ilvl="1">
      <w:start w:val="1"/>
      <w:numFmt w:val="decimal"/>
      <w:pStyle w:val="2"/>
      <w:lvlText w:val="%1.%2."/>
      <w:lvlJc w:val="left"/>
      <w:pPr>
        <w:tabs>
          <w:tab w:val="num" w:pos="1133"/>
        </w:tabs>
        <w:ind w:left="1133" w:hanging="1191"/>
      </w:pPr>
      <w:rPr>
        <w:rFonts w:cs="Courier New" w:hint="default"/>
        <w:bCs/>
        <w:iCs w:val="0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7"/>
        </w:tabs>
        <w:ind w:left="2267" w:hanging="1247"/>
      </w:pPr>
      <w:rPr>
        <w:rFonts w:cs="Courier New" w:hint="default"/>
        <w:bCs/>
        <w:iCs w:val="0"/>
        <w:spacing w:val="0"/>
        <w:sz w:val="20"/>
        <w:szCs w:val="20"/>
        <w:effect w:val="no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68"/>
        </w:tabs>
        <w:ind w:left="3968" w:hanging="1814"/>
      </w:pPr>
      <w:rPr>
        <w:rFonts w:cs="Courier New" w:hint="default"/>
        <w:bCs/>
        <w:iCs w:val="0"/>
        <w:sz w:val="20"/>
        <w:szCs w:val="20"/>
      </w:rPr>
    </w:lvl>
    <w:lvl w:ilvl="4">
      <w:start w:val="1"/>
      <w:numFmt w:val="decimal"/>
      <w:lvlText w:val="%1.%2.%3.%4.%5."/>
      <w:lvlJc w:val="center"/>
      <w:pPr>
        <w:tabs>
          <w:tab w:val="num" w:pos="1664"/>
        </w:tabs>
        <w:ind w:left="1664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168"/>
        </w:tabs>
        <w:ind w:left="2168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2672"/>
        </w:tabs>
        <w:ind w:left="267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176"/>
        </w:tabs>
        <w:ind w:left="317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3752"/>
        </w:tabs>
        <w:ind w:left="3752" w:hanging="1440"/>
      </w:pPr>
      <w:rPr>
        <w:rFonts w:cs="Times New Roman"/>
      </w:rPr>
    </w:lvl>
  </w:abstractNum>
  <w:abstractNum w:abstractNumId="1" w15:restartNumberingAfterBreak="0">
    <w:nsid w:val="3C106D56"/>
    <w:multiLevelType w:val="multilevel"/>
    <w:tmpl w:val="1AFEF578"/>
    <w:lvl w:ilvl="0">
      <w:start w:val="1"/>
      <w:numFmt w:val="decimal"/>
      <w:pStyle w:val="a"/>
      <w:lvlText w:val="%1."/>
      <w:lvlJc w:val="right"/>
      <w:pPr>
        <w:tabs>
          <w:tab w:val="num" w:pos="2155"/>
        </w:tabs>
        <w:ind w:hanging="482"/>
      </w:pPr>
      <w:rPr>
        <w:rFonts w:cs="David" w:hint="default"/>
        <w:b/>
        <w:bCs w:val="0"/>
        <w:iCs w:val="0"/>
        <w:sz w:val="24"/>
        <w:szCs w:val="24"/>
      </w:rPr>
    </w:lvl>
    <w:lvl w:ilvl="1">
      <w:start w:val="1"/>
      <w:numFmt w:val="decimal"/>
      <w:lvlText w:val="     %1.%2"/>
      <w:lvlJc w:val="center"/>
      <w:pPr>
        <w:tabs>
          <w:tab w:val="num" w:pos="1418"/>
        </w:tabs>
        <w:ind w:hanging="908"/>
      </w:pPr>
      <w:rPr>
        <w:rFonts w:cs="David" w:hint="default"/>
        <w:b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          %1.%2.%3"/>
      <w:lvlJc w:val="center"/>
      <w:pPr>
        <w:tabs>
          <w:tab w:val="num" w:pos="2552"/>
        </w:tabs>
        <w:ind w:hanging="1475"/>
      </w:pPr>
      <w:rPr>
        <w:rFonts w:cs="Courier New" w:hint="default"/>
        <w:bCs/>
        <w:iCs w:val="0"/>
        <w:sz w:val="20"/>
        <w:szCs w:val="20"/>
      </w:rPr>
    </w:lvl>
    <w:lvl w:ilvl="3">
      <w:start w:val="1"/>
      <w:numFmt w:val="decimal"/>
      <w:lvlText w:val="               %1.%2.%3.%4"/>
      <w:lvlJc w:val="left"/>
      <w:pPr>
        <w:tabs>
          <w:tab w:val="num" w:pos="3686"/>
        </w:tabs>
        <w:ind w:hanging="3062"/>
      </w:pPr>
      <w:rPr>
        <w:rFonts w:cs="Courier New" w:hint="default"/>
        <w:bCs/>
        <w:iCs w:val="0"/>
        <w:sz w:val="20"/>
        <w:szCs w:val="20"/>
      </w:rPr>
    </w:lvl>
    <w:lvl w:ilvl="4">
      <w:start w:val="1"/>
      <w:numFmt w:val="decimal"/>
      <w:lvlText w:val="                 %1.%2.%3.%4.%5"/>
      <w:lvlJc w:val="center"/>
      <w:pPr>
        <w:tabs>
          <w:tab w:val="num" w:pos="5103"/>
        </w:tabs>
        <w:ind w:hanging="2098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hebrew1"/>
      <w:lvlText w:val="%6."/>
      <w:lvlJc w:val="center"/>
      <w:pPr>
        <w:tabs>
          <w:tab w:val="num" w:pos="5670"/>
        </w:tabs>
        <w:ind w:hanging="510"/>
      </w:pPr>
      <w:rPr>
        <w:rFonts w:ascii="Times New Roman" w:hAnsi="Times New Roman" w:cs="David" w:hint="cs"/>
        <w:sz w:val="2"/>
        <w:szCs w:val="22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hanging="1440"/>
      </w:pPr>
      <w:rPr>
        <w:rFonts w:cs="Times New Roman"/>
      </w:rPr>
    </w:lvl>
  </w:abstractNum>
  <w:abstractNum w:abstractNumId="2" w15:restartNumberingAfterBreak="0">
    <w:nsid w:val="43F55E63"/>
    <w:multiLevelType w:val="multilevel"/>
    <w:tmpl w:val="BFAC99CC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David" w:hint="cs"/>
        <w:bCs w:val="0"/>
        <w:iCs w:val="0"/>
        <w:sz w:val="2"/>
        <w:szCs w:val="24"/>
      </w:rPr>
    </w:lvl>
    <w:lvl w:ilvl="1">
      <w:start w:val="1"/>
      <w:numFmt w:val="hebrew1"/>
      <w:lvlText w:val="(%2)"/>
      <w:lvlJc w:val="left"/>
      <w:pPr>
        <w:tabs>
          <w:tab w:val="num" w:pos="1418"/>
        </w:tabs>
        <w:ind w:left="1418" w:hanging="681"/>
      </w:pPr>
      <w:rPr>
        <w:rFonts w:cs="David"/>
        <w:b w:val="0"/>
        <w:bCs w:val="0"/>
        <w:sz w:val="24"/>
        <w:szCs w:val="24"/>
      </w:rPr>
    </w:lvl>
    <w:lvl w:ilvl="2">
      <w:start w:val="1"/>
      <w:numFmt w:val="hebrew1"/>
      <w:lvlText w:val="(%3)"/>
      <w:lvlJc w:val="left"/>
      <w:pPr>
        <w:tabs>
          <w:tab w:val="num" w:pos="2098"/>
        </w:tabs>
        <w:ind w:left="2098" w:hanging="794"/>
      </w:pPr>
      <w:rPr>
        <w:rFonts w:cs="Times New Roman"/>
        <w:sz w:val="2"/>
        <w:szCs w:val="22"/>
      </w:rPr>
    </w:lvl>
    <w:lvl w:ilvl="3">
      <w:start w:val="1"/>
      <w:numFmt w:val="hebrew1"/>
      <w:lvlText w:val="(%4)"/>
      <w:lvlJc w:val="left"/>
      <w:pPr>
        <w:tabs>
          <w:tab w:val="num" w:pos="3062"/>
        </w:tabs>
        <w:ind w:left="3062" w:hanging="1021"/>
      </w:pPr>
      <w:rPr>
        <w:rFonts w:cs="Times New Roman"/>
        <w:sz w:val="2"/>
        <w:szCs w:val="22"/>
      </w:rPr>
    </w:lvl>
    <w:lvl w:ilvl="4">
      <w:start w:val="1"/>
      <w:numFmt w:val="hebrew1"/>
      <w:lvlText w:val="(%5)"/>
      <w:lvlJc w:val="left"/>
      <w:pPr>
        <w:tabs>
          <w:tab w:val="num" w:pos="3969"/>
        </w:tabs>
        <w:ind w:left="3969" w:hanging="907"/>
      </w:pPr>
      <w:rPr>
        <w:rFonts w:cs="Times New Roman"/>
        <w:sz w:val="2"/>
        <w:szCs w:val="22"/>
      </w:rPr>
    </w:lvl>
    <w:lvl w:ilvl="5">
      <w:start w:val="1"/>
      <w:numFmt w:val="decimal"/>
      <w:lvlText w:val="%1.%2.%3.%4.%5.%6."/>
      <w:lvlJc w:val="center"/>
      <w:pPr>
        <w:tabs>
          <w:tab w:val="num" w:pos="2448"/>
        </w:tabs>
        <w:ind w:left="2160" w:hanging="360"/>
      </w:pPr>
      <w:rPr>
        <w:rFonts w:cs="Times New Roman"/>
      </w:rPr>
    </w:lvl>
    <w:lvl w:ilvl="6">
      <w:start w:val="1"/>
      <w:numFmt w:val="hebrew1"/>
      <w:lvlText w:val="%1.%2.%3.%4.%5.%6.%7."/>
      <w:lvlJc w:val="center"/>
      <w:pPr>
        <w:tabs>
          <w:tab w:val="num" w:pos="2808"/>
        </w:tabs>
        <w:ind w:left="2520" w:hanging="360"/>
      </w:pPr>
      <w:rPr>
        <w:rFonts w:cs="Times New Roman"/>
        <w:sz w:val="2"/>
        <w:szCs w:val="22"/>
      </w:rPr>
    </w:lvl>
    <w:lvl w:ilvl="7">
      <w:start w:val="1"/>
      <w:numFmt w:val="decimal"/>
      <w:lvlText w:val="%1.%2.%3.%4.%5.%6.%7.%8."/>
      <w:lvlJc w:val="center"/>
      <w:pPr>
        <w:tabs>
          <w:tab w:val="num" w:pos="3168"/>
        </w:tabs>
        <w:ind w:left="2880" w:hanging="360"/>
      </w:pPr>
      <w:rPr>
        <w:rFonts w:cs="Times New Roman"/>
      </w:rPr>
    </w:lvl>
    <w:lvl w:ilvl="8">
      <w:start w:val="1"/>
      <w:numFmt w:val="hebrew1"/>
      <w:lvlText w:val="%1.%2.%3.%4.%5.%6.%7.%8.%9."/>
      <w:lvlJc w:val="center"/>
      <w:pPr>
        <w:tabs>
          <w:tab w:val="num" w:pos="3528"/>
        </w:tabs>
        <w:ind w:left="3240" w:hanging="360"/>
      </w:pPr>
      <w:rPr>
        <w:rFonts w:cs="Times New Roman"/>
        <w:sz w:val="2"/>
        <w:szCs w:val="22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87"/>
    <w:rsid w:val="00673AE8"/>
    <w:rsid w:val="008200F8"/>
    <w:rsid w:val="00841487"/>
    <w:rsid w:val="00C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75FB-37AD-4D66-8C3C-D8BEB5B0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1487"/>
    <w:pPr>
      <w:tabs>
        <w:tab w:val="left" w:pos="567"/>
        <w:tab w:val="left" w:pos="1134"/>
        <w:tab w:val="left" w:pos="1701"/>
      </w:tabs>
      <w:bidi/>
      <w:spacing w:after="0" w:line="320" w:lineRule="atLeast"/>
      <w:jc w:val="both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1">
    <w:name w:val="heading 1"/>
    <w:aliases w:val="H2,H2 Char,H2 Char Char,H2 Char Char תו,Char Char Char,H2 Char Char תו Char Char Char Char Char,כותרת 1 תו2 תו,כותרת 1 תו2,ראשי גת,Section Heading,H1,Header1,Hed_undl,כותרת1,כותרת 1 תו1 תו תו תו תו תו,כותרת 1 תו1,Char Char, Char Char Char,h1,hdg1"/>
    <w:basedOn w:val="a0"/>
    <w:link w:val="10"/>
    <w:uiPriority w:val="99"/>
    <w:qFormat/>
    <w:rsid w:val="00841487"/>
    <w:pPr>
      <w:keepLines/>
      <w:numPr>
        <w:numId w:val="1"/>
      </w:numPr>
      <w:spacing w:before="120"/>
      <w:ind w:right="567"/>
      <w:outlineLvl w:val="0"/>
    </w:pPr>
  </w:style>
  <w:style w:type="paragraph" w:styleId="2">
    <w:name w:val="heading 2"/>
    <w:aliases w:val="Char Char Char2,תו Char תו,תו Char Char,תו Char,Char Char Char Char3,Heading 2 Char3,Heading 2 Char1 Char2,Heading 2 Char Char Char2,Heading 2 Char Char Char Char Char2,Heading 2 Char Char Char Char Char Char Char2,תו Char Char1 Char,תו,s,* Cha"/>
    <w:basedOn w:val="a0"/>
    <w:link w:val="20"/>
    <w:qFormat/>
    <w:rsid w:val="00841487"/>
    <w:pPr>
      <w:keepLines/>
      <w:numPr>
        <w:ilvl w:val="1"/>
        <w:numId w:val="1"/>
      </w:numPr>
      <w:tabs>
        <w:tab w:val="clear" w:pos="1133"/>
      </w:tabs>
      <w:spacing w:before="120"/>
      <w:ind w:right="1701"/>
      <w:outlineLvl w:val="1"/>
    </w:pPr>
  </w:style>
  <w:style w:type="paragraph" w:styleId="3">
    <w:name w:val="heading 3"/>
    <w:aliases w:val="h3,HHHeading,3,l3,Level 3 Head,H3,t?tulo 3,Kop 3V,3heading,Heading 3 Char Char,Heading 3 Char Char Char,Heading 3 Char Char Char Char,Heading 3 Char,Heading 31,Heading 3 Char Char1,Heading 3 Char Char Char1 Char,Char2,h, Char2,list ,h_0"/>
    <w:basedOn w:val="a0"/>
    <w:link w:val="30"/>
    <w:qFormat/>
    <w:rsid w:val="00841487"/>
    <w:pPr>
      <w:keepLines/>
      <w:numPr>
        <w:ilvl w:val="2"/>
        <w:numId w:val="1"/>
      </w:numPr>
      <w:spacing w:before="120"/>
      <w:ind w:right="2835"/>
      <w:outlineLvl w:val="2"/>
    </w:pPr>
  </w:style>
  <w:style w:type="paragraph" w:styleId="4">
    <w:name w:val="heading 4"/>
    <w:aliases w:val="Char Char1,Char Char Char3,Char,Char Char11,Heading 4 Char,Char Char Char Char2,Char Char4,Char Char1 Char,Char Char Char2 Char1,Char Char Char21,Heading 4 Char Char,Heading 4 Char Char Char,Heading 4 Char Char Char Char Char,Heading 4 Char1,*,* ת"/>
    <w:basedOn w:val="a0"/>
    <w:link w:val="40"/>
    <w:qFormat/>
    <w:rsid w:val="00841487"/>
    <w:pPr>
      <w:keepLines/>
      <w:numPr>
        <w:ilvl w:val="3"/>
        <w:numId w:val="1"/>
      </w:numPr>
      <w:spacing w:before="120"/>
      <w:ind w:right="4536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H2 Char תו,H2 Char Char תו1,H2 Char Char תו תו,Char Char Char תו,H2 Char Char תו Char Char Char Char Char תו,כותרת 1 תו2 תו תו,כותרת 1 תו2 תו1,ראשי גת תו,Section Heading תו,H1 תו,Header1 תו,Hed_undl תו,כותרת1 תו,כותרת 1 תו1 תו,h1 תו"/>
    <w:basedOn w:val="a1"/>
    <w:link w:val="1"/>
    <w:uiPriority w:val="99"/>
    <w:rsid w:val="00841487"/>
    <w:rPr>
      <w:rFonts w:ascii="Times New Roman" w:eastAsia="Times New Roman" w:hAnsi="Times New Roman" w:cs="David"/>
      <w:noProof/>
      <w:szCs w:val="24"/>
      <w:lang w:eastAsia="he-IL"/>
    </w:rPr>
  </w:style>
  <w:style w:type="character" w:customStyle="1" w:styleId="20">
    <w:name w:val="כותרת 2 תו"/>
    <w:basedOn w:val="a1"/>
    <w:link w:val="2"/>
    <w:rsid w:val="00841487"/>
    <w:rPr>
      <w:rFonts w:ascii="Times New Roman" w:eastAsia="Times New Roman" w:hAnsi="Times New Roman" w:cs="David"/>
      <w:noProof/>
      <w:szCs w:val="24"/>
      <w:lang w:eastAsia="he-IL"/>
    </w:rPr>
  </w:style>
  <w:style w:type="character" w:customStyle="1" w:styleId="30">
    <w:name w:val="כותרת 3 תו"/>
    <w:basedOn w:val="a1"/>
    <w:link w:val="3"/>
    <w:rsid w:val="00841487"/>
    <w:rPr>
      <w:rFonts w:ascii="Times New Roman" w:eastAsia="Times New Roman" w:hAnsi="Times New Roman" w:cs="David"/>
      <w:noProof/>
      <w:szCs w:val="24"/>
      <w:lang w:eastAsia="he-IL"/>
    </w:rPr>
  </w:style>
  <w:style w:type="character" w:customStyle="1" w:styleId="40">
    <w:name w:val="כותרת 4 תו"/>
    <w:basedOn w:val="a1"/>
    <w:link w:val="4"/>
    <w:rsid w:val="00841487"/>
    <w:rPr>
      <w:rFonts w:ascii="Times New Roman" w:eastAsia="Times New Roman" w:hAnsi="Times New Roman" w:cs="David"/>
      <w:noProof/>
      <w:szCs w:val="24"/>
      <w:lang w:eastAsia="he-IL"/>
    </w:rPr>
  </w:style>
  <w:style w:type="paragraph" w:customStyle="1" w:styleId="a">
    <w:name w:val="מיספור עיברי"/>
    <w:basedOn w:val="a0"/>
    <w:rsid w:val="00841487"/>
    <w:pPr>
      <w:numPr>
        <w:numId w:val="2"/>
      </w:numPr>
      <w:tabs>
        <w:tab w:val="clear" w:pos="567"/>
        <w:tab w:val="clear" w:pos="1134"/>
        <w:tab w:val="clear" w:pos="1701"/>
      </w:tabs>
      <w:autoSpaceDE w:val="0"/>
      <w:autoSpaceDN w:val="0"/>
      <w:spacing w:before="120" w:after="120" w:line="280" w:lineRule="exact"/>
    </w:pPr>
    <w:rPr>
      <w:noProof w:val="0"/>
      <w:sz w:val="26"/>
      <w:lang w:eastAsia="en-US"/>
    </w:rPr>
  </w:style>
  <w:style w:type="character" w:styleId="Hyperlink">
    <w:name w:val="Hyperlink"/>
    <w:rsid w:val="00841487"/>
    <w:rPr>
      <w:rFonts w:ascii="Arial" w:hAnsi="Arial" w:cs="Arial"/>
      <w:color w:val="0000FF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jrjacobwe/AppData/Local/Microsoft/Windows/INetCache/Content.Outlook/HHA0WGMZ/www.clalit.co.i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lalit.co.i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C1950-77D4-4733-825E-58F4940A96BE}"/>
</file>

<file path=customXml/itemProps2.xml><?xml version="1.0" encoding="utf-8"?>
<ds:datastoreItem xmlns:ds="http://schemas.openxmlformats.org/officeDocument/2006/customXml" ds:itemID="{8FF5A52A-82D5-47EC-B572-31A0A6DB0B95}"/>
</file>

<file path=customXml/itemProps3.xml><?xml version="1.0" encoding="utf-8"?>
<ds:datastoreItem xmlns:ds="http://schemas.openxmlformats.org/officeDocument/2006/customXml" ds:itemID="{056E0A7B-06A4-40B3-A6E6-9487EABB8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גבריאלי</dc:creator>
  <cp:keywords/>
  <dc:description/>
  <cp:lastModifiedBy>אורית גבריאלי</cp:lastModifiedBy>
  <cp:revision>2</cp:revision>
  <dcterms:created xsi:type="dcterms:W3CDTF">2024-09-30T08:31:00Z</dcterms:created>
  <dcterms:modified xsi:type="dcterms:W3CDTF">2024-09-30T08:35:00Z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